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E3" w:rsidRPr="00D26037" w:rsidRDefault="007402E3" w:rsidP="0071709E">
      <w:pPr>
        <w:keepNext/>
        <w:spacing w:after="0" w:line="240" w:lineRule="auto"/>
        <w:ind w:left="567"/>
        <w:jc w:val="center"/>
        <w:rPr>
          <w:rFonts w:ascii="Times New Roman" w:hAnsi="Times New Roman" w:cs="Times New Roman"/>
          <w:b/>
        </w:rPr>
      </w:pPr>
      <w:r w:rsidRPr="00D26037">
        <w:rPr>
          <w:rFonts w:ascii="Times New Roman" w:hAnsi="Times New Roman" w:cs="Times New Roman"/>
          <w:b/>
        </w:rPr>
        <w:t xml:space="preserve">Отчет об итогах голосования </w:t>
      </w:r>
    </w:p>
    <w:p w:rsidR="00006C0C" w:rsidRPr="00D26037" w:rsidRDefault="00006C0C" w:rsidP="0071709E">
      <w:pPr>
        <w:keepNext/>
        <w:spacing w:after="0" w:line="240" w:lineRule="auto"/>
        <w:ind w:left="567"/>
        <w:jc w:val="center"/>
        <w:rPr>
          <w:rFonts w:ascii="Times New Roman" w:hAnsi="Times New Roman" w:cs="Times New Roman"/>
          <w:b/>
        </w:rPr>
      </w:pPr>
      <w:r w:rsidRPr="00D26037">
        <w:rPr>
          <w:rFonts w:ascii="Times New Roman" w:hAnsi="Times New Roman" w:cs="Times New Roman"/>
          <w:b/>
        </w:rPr>
        <w:t>НА ОБЩЕМ</w:t>
      </w:r>
      <w:r w:rsidR="00444EB4" w:rsidRPr="00D26037">
        <w:rPr>
          <w:rFonts w:ascii="Times New Roman" w:hAnsi="Times New Roman" w:cs="Times New Roman"/>
          <w:b/>
        </w:rPr>
        <w:t xml:space="preserve"> ВНЕОЧЕРЕДНОМ</w:t>
      </w:r>
      <w:r w:rsidRPr="00D26037">
        <w:rPr>
          <w:rFonts w:ascii="Times New Roman" w:hAnsi="Times New Roman" w:cs="Times New Roman"/>
          <w:b/>
        </w:rPr>
        <w:t xml:space="preserve"> СОБРАНИИ АКЦИОНЕРОВ</w:t>
      </w:r>
    </w:p>
    <w:p w:rsidR="00006C0C" w:rsidRPr="00D26037" w:rsidRDefault="00006C0C" w:rsidP="0071709E">
      <w:pPr>
        <w:keepNext/>
        <w:spacing w:after="0" w:line="240" w:lineRule="auto"/>
        <w:ind w:left="567"/>
        <w:jc w:val="center"/>
        <w:rPr>
          <w:rFonts w:ascii="Times New Roman" w:hAnsi="Times New Roman" w:cs="Times New Roman"/>
          <w:b/>
        </w:rPr>
      </w:pPr>
      <w:r w:rsidRPr="00D26037">
        <w:rPr>
          <w:rFonts w:ascii="Times New Roman" w:hAnsi="Times New Roman" w:cs="Times New Roman"/>
          <w:b/>
        </w:rPr>
        <w:t>Акционерного общества "Третий парк"</w:t>
      </w:r>
    </w:p>
    <w:p w:rsidR="00444EB4" w:rsidRPr="00D26037" w:rsidRDefault="00444EB4" w:rsidP="00444EB4">
      <w:pPr>
        <w:keepNext/>
        <w:keepLines/>
        <w:autoSpaceDE w:val="0"/>
        <w:autoSpaceDN w:val="0"/>
        <w:adjustRightInd w:val="0"/>
        <w:spacing w:after="0" w:line="240" w:lineRule="auto"/>
        <w:jc w:val="both"/>
        <w:rPr>
          <w:rFonts w:ascii="Times New Roman" w:hAnsi="Times New Roman" w:cs="Times New Roman"/>
        </w:rPr>
      </w:pPr>
      <w:r w:rsidRPr="00D26037">
        <w:rPr>
          <w:rFonts w:ascii="Times New Roman" w:hAnsi="Times New Roman" w:cs="Times New Roman"/>
        </w:rPr>
        <w:t xml:space="preserve">Место нахождения общества: 197342, г. Санкт-Петербург, ул. Белоостровская, д.19, литер Б, </w:t>
      </w:r>
    </w:p>
    <w:p w:rsidR="00444EB4" w:rsidRPr="00D26037" w:rsidRDefault="00444EB4" w:rsidP="00444EB4">
      <w:pPr>
        <w:keepNext/>
        <w:keepLines/>
        <w:autoSpaceDE w:val="0"/>
        <w:autoSpaceDN w:val="0"/>
        <w:adjustRightInd w:val="0"/>
        <w:spacing w:after="0" w:line="240" w:lineRule="auto"/>
        <w:jc w:val="both"/>
        <w:rPr>
          <w:rFonts w:ascii="Times New Roman" w:hAnsi="Times New Roman" w:cs="Times New Roman"/>
        </w:rPr>
      </w:pPr>
      <w:r w:rsidRPr="00D26037">
        <w:rPr>
          <w:rFonts w:ascii="Times New Roman" w:hAnsi="Times New Roman" w:cs="Times New Roman"/>
        </w:rPr>
        <w:t xml:space="preserve">Форма проведения общего собрания акционеров: собрание </w:t>
      </w:r>
    </w:p>
    <w:p w:rsidR="00444EB4" w:rsidRPr="00D26037" w:rsidRDefault="00444EB4" w:rsidP="00444EB4">
      <w:pPr>
        <w:keepNext/>
        <w:keepLines/>
        <w:autoSpaceDE w:val="0"/>
        <w:autoSpaceDN w:val="0"/>
        <w:adjustRightInd w:val="0"/>
        <w:spacing w:after="0" w:line="240" w:lineRule="auto"/>
        <w:jc w:val="both"/>
        <w:rPr>
          <w:rFonts w:ascii="Times New Roman" w:hAnsi="Times New Roman" w:cs="Times New Roman"/>
        </w:rPr>
      </w:pPr>
      <w:r w:rsidRPr="00D26037">
        <w:rPr>
          <w:rFonts w:ascii="Times New Roman" w:hAnsi="Times New Roman" w:cs="Times New Roman"/>
        </w:rPr>
        <w:t xml:space="preserve">Дата проведения собрания: </w:t>
      </w:r>
      <w:r w:rsidRPr="00D26037">
        <w:rPr>
          <w:rFonts w:ascii="Times New Roman" w:hAnsi="Times New Roman" w:cs="Times New Roman"/>
          <w:b/>
        </w:rPr>
        <w:t>02 апреля 2020</w:t>
      </w:r>
      <w:r w:rsidRPr="00D26037">
        <w:rPr>
          <w:rFonts w:ascii="Times New Roman" w:hAnsi="Times New Roman" w:cs="Times New Roman"/>
        </w:rPr>
        <w:t xml:space="preserve">. Время проведения: </w:t>
      </w:r>
      <w:r w:rsidRPr="00D26037">
        <w:rPr>
          <w:rFonts w:ascii="Times New Roman" w:hAnsi="Times New Roman" w:cs="Times New Roman"/>
          <w:b/>
        </w:rPr>
        <w:t>10.00</w:t>
      </w:r>
      <w:r w:rsidRPr="00D26037">
        <w:rPr>
          <w:rFonts w:ascii="Times New Roman" w:hAnsi="Times New Roman" w:cs="Times New Roman"/>
        </w:rPr>
        <w:t>.</w:t>
      </w:r>
    </w:p>
    <w:p w:rsidR="00444EB4" w:rsidRPr="00D26037" w:rsidRDefault="00444EB4" w:rsidP="00444EB4">
      <w:pPr>
        <w:keepNext/>
        <w:keepLines/>
        <w:autoSpaceDE w:val="0"/>
        <w:autoSpaceDN w:val="0"/>
        <w:adjustRightInd w:val="0"/>
        <w:spacing w:after="0" w:line="240" w:lineRule="auto"/>
        <w:jc w:val="both"/>
        <w:rPr>
          <w:rFonts w:ascii="Times New Roman" w:hAnsi="Times New Roman" w:cs="Times New Roman"/>
        </w:rPr>
      </w:pPr>
      <w:r w:rsidRPr="00D26037">
        <w:rPr>
          <w:rFonts w:ascii="Times New Roman" w:hAnsi="Times New Roman" w:cs="Times New Roman"/>
        </w:rPr>
        <w:t>Дата определения (фиксации) лиц, имевших право на участие в общем собрании – 09.03.2020</w:t>
      </w:r>
    </w:p>
    <w:p w:rsidR="00444EB4" w:rsidRPr="00D26037" w:rsidRDefault="00444EB4" w:rsidP="00444EB4">
      <w:pPr>
        <w:keepNext/>
        <w:keepLines/>
        <w:autoSpaceDE w:val="0"/>
        <w:autoSpaceDN w:val="0"/>
        <w:adjustRightInd w:val="0"/>
        <w:spacing w:after="0" w:line="240" w:lineRule="auto"/>
        <w:jc w:val="both"/>
        <w:rPr>
          <w:rFonts w:ascii="Times New Roman" w:hAnsi="Times New Roman" w:cs="Times New Roman"/>
        </w:rPr>
      </w:pPr>
      <w:r w:rsidRPr="00D26037">
        <w:rPr>
          <w:rFonts w:ascii="Times New Roman" w:hAnsi="Times New Roman" w:cs="Times New Roman"/>
        </w:rPr>
        <w:t>Место проведения собрания: ул. Белоостровская, д.19, литер Б, г. Санкт-Петербург</w:t>
      </w:r>
    </w:p>
    <w:p w:rsidR="00444EB4" w:rsidRPr="00D26037" w:rsidRDefault="00444EB4" w:rsidP="00444EB4">
      <w:pPr>
        <w:keepNext/>
        <w:keepLines/>
        <w:autoSpaceDE w:val="0"/>
        <w:autoSpaceDN w:val="0"/>
        <w:adjustRightInd w:val="0"/>
        <w:spacing w:after="0" w:line="240" w:lineRule="auto"/>
        <w:jc w:val="both"/>
        <w:rPr>
          <w:rFonts w:ascii="Times New Roman" w:hAnsi="Times New Roman" w:cs="Times New Roman"/>
        </w:rPr>
      </w:pPr>
      <w:r w:rsidRPr="00D26037">
        <w:rPr>
          <w:rFonts w:ascii="Times New Roman" w:hAnsi="Times New Roman" w:cs="Times New Roman"/>
        </w:rPr>
        <w:t xml:space="preserve">Почтовый адрес, по которому направлялись заполненные бюллетени для голосования: </w:t>
      </w:r>
    </w:p>
    <w:p w:rsidR="00444EB4" w:rsidRPr="00D26037" w:rsidRDefault="00444EB4" w:rsidP="00444EB4">
      <w:pPr>
        <w:keepNext/>
        <w:keepLines/>
        <w:autoSpaceDE w:val="0"/>
        <w:autoSpaceDN w:val="0"/>
        <w:adjustRightInd w:val="0"/>
        <w:spacing w:after="0" w:line="240" w:lineRule="auto"/>
        <w:jc w:val="both"/>
        <w:rPr>
          <w:rFonts w:ascii="Times New Roman" w:hAnsi="Times New Roman" w:cs="Times New Roman"/>
        </w:rPr>
      </w:pPr>
      <w:r w:rsidRPr="00D26037">
        <w:rPr>
          <w:rFonts w:ascii="Times New Roman" w:hAnsi="Times New Roman" w:cs="Times New Roman"/>
        </w:rPr>
        <w:t>ул. Белоостровская, 19, лит. Б,  г. Санкт-Петербург 197342</w:t>
      </w:r>
    </w:p>
    <w:p w:rsidR="00D26037" w:rsidRPr="00D26037" w:rsidRDefault="00444EB4" w:rsidP="00D26037">
      <w:pPr>
        <w:pStyle w:val="ConsPlusNormal"/>
        <w:ind w:firstLine="540"/>
        <w:jc w:val="both"/>
      </w:pPr>
      <w:r w:rsidRPr="00D26037">
        <w:t xml:space="preserve">На основании пункта 11.3.3 Устава  Председатель совета директоров – Сибирев Игорь Валентинович председательствует на общем собрании акционеров, назначает секретаря общего собрания акционеров. Секретарем назначена Широкова Екатерина Владимировна. </w:t>
      </w:r>
    </w:p>
    <w:p w:rsidR="00D26037" w:rsidRPr="00D26037" w:rsidRDefault="00D26037" w:rsidP="00D26037">
      <w:pPr>
        <w:pStyle w:val="ConsPlusNormal"/>
        <w:ind w:firstLine="540"/>
        <w:jc w:val="both"/>
      </w:pPr>
      <w:r w:rsidRPr="00D26037">
        <w:rPr>
          <w:b/>
        </w:rPr>
        <w:t xml:space="preserve">Повестка дня общего собрания: </w:t>
      </w:r>
      <w:r w:rsidRPr="00D26037">
        <w:t>1) О принятии решения об одобрении или о совершении Акционерным обществом «Третий Парк» крупных сделок (о даче согласия на совершение крупных сделок) в соответствии со статьей 66 Федерального закона от 05.04.2013 N 44-ФЗ "О контрактной системе в сфере закупок товаров, работ, услуг для обеспечения государственных и муниципальных нужд", статьей 79 Федерального закона от 26.12.1995 N 208-ФЗ "Об акционерных обществах".</w:t>
      </w:r>
    </w:p>
    <w:p w:rsidR="00D26037" w:rsidRPr="00D26037" w:rsidRDefault="00D26037" w:rsidP="00D26037">
      <w:pPr>
        <w:pStyle w:val="ConsPlusNormal"/>
        <w:ind w:firstLine="540"/>
        <w:jc w:val="both"/>
      </w:pPr>
      <w:r w:rsidRPr="00D26037">
        <w:t>Кворум и итоги голосования по вопросу № 1 повестки дня: О принятии решения об одобрении или о совершении Акционерным обществом «Третий Парк» крупных сделок (о даче согласия на совершение крупных сделок) в соответствии со статьей 66 Федерального закона от 05.04.2013 N 44-ФЗ "О контрактной системе в сфере закупок товаров, работ, услуг для обеспечения государственных и муниципальных нужд", статьей 79 Федерального закона от 26.12.1995 N 208-ФЗ "Об акционерных обществах".</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436"/>
        <w:gridCol w:w="1871"/>
      </w:tblGrid>
      <w:tr w:rsidR="00D26037" w:rsidRPr="00D26037" w:rsidTr="00FD6155">
        <w:trPr>
          <w:cantSplit/>
        </w:trPr>
        <w:tc>
          <w:tcPr>
            <w:tcW w:w="8436"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10 120 </w:t>
            </w:r>
          </w:p>
        </w:tc>
      </w:tr>
      <w:tr w:rsidR="00D26037" w:rsidRPr="00D26037" w:rsidTr="00FD6155">
        <w:trPr>
          <w:cantSplit/>
        </w:trPr>
        <w:tc>
          <w:tcPr>
            <w:tcW w:w="8436"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10 120 </w:t>
            </w:r>
          </w:p>
        </w:tc>
      </w:tr>
      <w:tr w:rsidR="00D26037" w:rsidRPr="00D26037" w:rsidTr="00FD6155">
        <w:trPr>
          <w:cantSplit/>
        </w:trPr>
        <w:tc>
          <w:tcPr>
            <w:tcW w:w="8436"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7 395 </w:t>
            </w:r>
          </w:p>
        </w:tc>
      </w:tr>
      <w:tr w:rsidR="00D26037" w:rsidRPr="00D26037" w:rsidTr="00FD6155">
        <w:trPr>
          <w:cantSplit/>
        </w:trPr>
        <w:tc>
          <w:tcPr>
            <w:tcW w:w="8436"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КВОРУМ по данному вопросу повестки дня имелся</w:t>
            </w:r>
          </w:p>
        </w:tc>
        <w:tc>
          <w:tcPr>
            <w:tcW w:w="187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73.0731%</w:t>
            </w:r>
          </w:p>
        </w:tc>
      </w:tr>
    </w:tbl>
    <w:p w:rsidR="00D26037" w:rsidRPr="00D26037" w:rsidRDefault="00D26037" w:rsidP="00D26037">
      <w:pPr>
        <w:pStyle w:val="ConsPlusNormal"/>
        <w:ind w:firstLine="540"/>
        <w:jc w:val="both"/>
        <w:rPr>
          <w:sz w:val="18"/>
          <w:szCs w:val="18"/>
        </w:rPr>
      </w:pP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1"/>
        <w:gridCol w:w="4439"/>
        <w:gridCol w:w="3621"/>
      </w:tblGrid>
      <w:tr w:rsidR="00D26037" w:rsidRPr="00D26037" w:rsidTr="00FD6155">
        <w:trPr>
          <w:cantSplit/>
        </w:trPr>
        <w:tc>
          <w:tcPr>
            <w:tcW w:w="236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Варианты голосования</w:t>
            </w:r>
          </w:p>
        </w:tc>
        <w:tc>
          <w:tcPr>
            <w:tcW w:w="4439"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Число голосов, отданных за каждый из вариантов голосования</w:t>
            </w:r>
          </w:p>
        </w:tc>
        <w:tc>
          <w:tcPr>
            <w:tcW w:w="362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от принявших участие в собрании</w:t>
            </w:r>
          </w:p>
        </w:tc>
      </w:tr>
      <w:tr w:rsidR="00D26037" w:rsidRPr="00D26037" w:rsidTr="00FD6155">
        <w:trPr>
          <w:cantSplit/>
        </w:trPr>
        <w:tc>
          <w:tcPr>
            <w:tcW w:w="236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"ЗА"</w:t>
            </w:r>
          </w:p>
        </w:tc>
        <w:tc>
          <w:tcPr>
            <w:tcW w:w="4439"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7 395 </w:t>
            </w:r>
          </w:p>
        </w:tc>
        <w:tc>
          <w:tcPr>
            <w:tcW w:w="362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100.0000 </w:t>
            </w:r>
          </w:p>
        </w:tc>
      </w:tr>
      <w:tr w:rsidR="00D26037" w:rsidRPr="00D26037" w:rsidTr="00FD6155">
        <w:trPr>
          <w:cantSplit/>
        </w:trPr>
        <w:tc>
          <w:tcPr>
            <w:tcW w:w="236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"ПРОТИВ"</w:t>
            </w:r>
          </w:p>
        </w:tc>
        <w:tc>
          <w:tcPr>
            <w:tcW w:w="4439"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0 </w:t>
            </w:r>
          </w:p>
        </w:tc>
        <w:tc>
          <w:tcPr>
            <w:tcW w:w="362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0.0000 </w:t>
            </w:r>
          </w:p>
        </w:tc>
      </w:tr>
      <w:tr w:rsidR="00D26037" w:rsidRPr="00D26037" w:rsidTr="00FD6155">
        <w:trPr>
          <w:cantSplit/>
        </w:trPr>
        <w:tc>
          <w:tcPr>
            <w:tcW w:w="236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"ВОЗДЕРЖАЛСЯ"</w:t>
            </w:r>
          </w:p>
        </w:tc>
        <w:tc>
          <w:tcPr>
            <w:tcW w:w="4439"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0 </w:t>
            </w:r>
          </w:p>
        </w:tc>
        <w:tc>
          <w:tcPr>
            <w:tcW w:w="362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0.0000 </w:t>
            </w:r>
          </w:p>
        </w:tc>
      </w:tr>
      <w:tr w:rsidR="00D26037" w:rsidRPr="00D26037" w:rsidTr="00FD6155">
        <w:trPr>
          <w:cantSplit/>
        </w:trPr>
        <w:tc>
          <w:tcPr>
            <w:tcW w:w="10421" w:type="dxa"/>
            <w:gridSpan w:val="3"/>
            <w:shd w:val="clear" w:color="auto" w:fill="auto"/>
          </w:tcPr>
          <w:p w:rsidR="00D26037" w:rsidRPr="00D26037" w:rsidRDefault="00D26037" w:rsidP="00D26037">
            <w:pPr>
              <w:pStyle w:val="ConsPlusNormal"/>
              <w:ind w:firstLine="540"/>
              <w:jc w:val="both"/>
              <w:rPr>
                <w:sz w:val="18"/>
                <w:szCs w:val="18"/>
              </w:rPr>
            </w:pPr>
            <w:r w:rsidRPr="00D26037">
              <w:rPr>
                <w:sz w:val="18"/>
                <w:szCs w:val="18"/>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D26037" w:rsidRPr="00D26037" w:rsidTr="00FD6155">
        <w:trPr>
          <w:cantSplit/>
        </w:trPr>
        <w:tc>
          <w:tcPr>
            <w:tcW w:w="236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"Недействительные"</w:t>
            </w:r>
          </w:p>
        </w:tc>
        <w:tc>
          <w:tcPr>
            <w:tcW w:w="4439"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0 </w:t>
            </w:r>
          </w:p>
        </w:tc>
        <w:tc>
          <w:tcPr>
            <w:tcW w:w="362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0.0000 </w:t>
            </w:r>
          </w:p>
        </w:tc>
      </w:tr>
      <w:tr w:rsidR="00D26037" w:rsidRPr="00D26037" w:rsidTr="00FD6155">
        <w:trPr>
          <w:cantSplit/>
        </w:trPr>
        <w:tc>
          <w:tcPr>
            <w:tcW w:w="236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"По иным основаниям"</w:t>
            </w:r>
          </w:p>
        </w:tc>
        <w:tc>
          <w:tcPr>
            <w:tcW w:w="4439"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0 </w:t>
            </w:r>
          </w:p>
        </w:tc>
        <w:tc>
          <w:tcPr>
            <w:tcW w:w="362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0.0000 </w:t>
            </w:r>
          </w:p>
        </w:tc>
      </w:tr>
      <w:tr w:rsidR="00D26037" w:rsidRPr="00D26037" w:rsidTr="00D26037">
        <w:trPr>
          <w:cantSplit/>
          <w:trHeight w:val="45"/>
        </w:trPr>
        <w:tc>
          <w:tcPr>
            <w:tcW w:w="236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ИТОГО:</w:t>
            </w:r>
          </w:p>
        </w:tc>
        <w:tc>
          <w:tcPr>
            <w:tcW w:w="4439"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7 395 </w:t>
            </w:r>
          </w:p>
        </w:tc>
        <w:tc>
          <w:tcPr>
            <w:tcW w:w="3621" w:type="dxa"/>
            <w:shd w:val="clear" w:color="auto" w:fill="auto"/>
          </w:tcPr>
          <w:p w:rsidR="00D26037" w:rsidRPr="00D26037" w:rsidRDefault="00D26037" w:rsidP="00D26037">
            <w:pPr>
              <w:pStyle w:val="ConsPlusNormal"/>
              <w:ind w:firstLine="540"/>
              <w:jc w:val="both"/>
              <w:rPr>
                <w:sz w:val="18"/>
                <w:szCs w:val="18"/>
              </w:rPr>
            </w:pPr>
            <w:r w:rsidRPr="00D26037">
              <w:rPr>
                <w:sz w:val="18"/>
                <w:szCs w:val="18"/>
              </w:rPr>
              <w:t xml:space="preserve">100.0000 </w:t>
            </w:r>
          </w:p>
        </w:tc>
      </w:tr>
    </w:tbl>
    <w:p w:rsidR="00D26037" w:rsidRPr="00D26037" w:rsidRDefault="00D26037" w:rsidP="00D26037">
      <w:pPr>
        <w:pStyle w:val="ConsPlusNormal"/>
        <w:ind w:firstLine="540"/>
        <w:jc w:val="both"/>
      </w:pPr>
    </w:p>
    <w:p w:rsidR="00D26037" w:rsidRPr="00D26037" w:rsidRDefault="00D26037" w:rsidP="00D26037">
      <w:pPr>
        <w:pStyle w:val="ConsPlusNormal"/>
        <w:ind w:firstLine="540"/>
        <w:jc w:val="both"/>
      </w:pPr>
      <w:r w:rsidRPr="00D26037">
        <w:t>РЕШЕНИЕ:</w:t>
      </w:r>
    </w:p>
    <w:p w:rsidR="00D26037" w:rsidRPr="00D26037" w:rsidRDefault="00D26037" w:rsidP="00D26037">
      <w:pPr>
        <w:pStyle w:val="ConsPlusNormal"/>
        <w:ind w:firstLine="540"/>
        <w:jc w:val="both"/>
      </w:pPr>
    </w:p>
    <w:p w:rsidR="00D26037" w:rsidRPr="00D26037" w:rsidRDefault="00D26037" w:rsidP="00D26037">
      <w:pPr>
        <w:pStyle w:val="ConsPlusNormal"/>
        <w:ind w:firstLine="540"/>
        <w:jc w:val="both"/>
      </w:pPr>
      <w:r w:rsidRPr="00D26037">
        <w:t>Принять решение  об одобрении или о совершении Акционерным обществом «Третий Парк» (о даче согласия на совершение) в соответствии со статьей 66 Федерального закона от 05.04.2013 N 44-ФЗ "О контрактной системе в сфере закупок товаров, работ, услуг для обеспечения государственных и муниципальных нужд", статьей 79 Федерального закона от 26.12.1995 N 208-ФЗ "Об акционерных обществах" крупных сделок:</w:t>
      </w:r>
    </w:p>
    <w:p w:rsidR="00D26037" w:rsidRPr="00D26037" w:rsidRDefault="00D26037" w:rsidP="00D26037">
      <w:pPr>
        <w:pStyle w:val="ConsPlusNormal"/>
        <w:ind w:firstLine="540"/>
        <w:jc w:val="both"/>
      </w:pPr>
    </w:p>
    <w:p w:rsidR="00D26037" w:rsidRPr="00D26037" w:rsidRDefault="00D26037" w:rsidP="00D26037">
      <w:pPr>
        <w:pStyle w:val="ConsPlusNormal"/>
        <w:ind w:firstLine="540"/>
        <w:jc w:val="both"/>
      </w:pPr>
      <w:r w:rsidRPr="00D26037">
        <w:t xml:space="preserve">Государственных контрактов на выполнение работ, связанных с осуществлением регулярных перевозок пассажиров и багажа автомобильным транспортом по регулируемым тарифам, заключаемых с Комитетом по транспорту Санкт-Петербурга / Санкт-Петербургским государственным казенным учреждением «Организатор перевозок»/ Комитетом по государственному заказу Санкт-Петербурга /любым иным  государственным или муниципальным Заказчиком (исполнительным органом государственной власти Санкт-Петербурга, уполномоченным в установленном порядке осуществлять функции заказчика), а равно уполномоченной государственным заказчиком организацией (подведомственным государственному заказчику государственным учреждением или государственным унитарным предприятием, которым были в установленном порядке переданы функции заказчика)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срок 2020-2026 годы включительно, а равно на любой иной срок, не превышающий 10 лет, по результатам любых конкурентных способов определения </w:t>
      </w:r>
      <w:r w:rsidRPr="00D26037">
        <w:lastRenderedPageBreak/>
        <w:t>поставщиков (подрядчиков, исполнителей) в электронной форме на любых электронных площадках, максимальная сумма каждого контракта (одной сделки) не должна превышать Пятнадцать миллиардов рублей включительно, без ограничения количества таких сделок на общую сумму не более Двести миллиардов рублей включительно, с определением иных условий сделки по своему усмотрению, а также внесение денежных средств (банковских гарантий) в качестве обеспечения заявок на участие в закупках в электронной форме на общую сумму не более Двести миллиардов рублей включительно, обеспечения исполнения контрактов на общую сумму не более Двести миллиардов  рублей включительно. Срок действия решения одобрения совершения крупных сделок – до 31 декабря 2027 года.</w:t>
      </w:r>
    </w:p>
    <w:p w:rsidR="00D26037" w:rsidRPr="00D26037" w:rsidRDefault="00D26037" w:rsidP="00D26037">
      <w:pPr>
        <w:pStyle w:val="ConsPlusNormal"/>
        <w:ind w:firstLine="540"/>
        <w:jc w:val="both"/>
      </w:pPr>
    </w:p>
    <w:p w:rsidR="00D26037" w:rsidRPr="00D26037" w:rsidRDefault="00D26037" w:rsidP="00D26037">
      <w:pPr>
        <w:pStyle w:val="ConsPlusNormal"/>
        <w:ind w:firstLine="540"/>
        <w:jc w:val="both"/>
        <w:rPr>
          <w:b/>
        </w:rPr>
      </w:pPr>
      <w:r w:rsidRPr="00D26037">
        <w:rPr>
          <w:b/>
        </w:rPr>
        <w:t>РЕШЕНИЕ ПРИНЯТО</w:t>
      </w:r>
    </w:p>
    <w:p w:rsidR="00006C0C" w:rsidRPr="00D26037" w:rsidRDefault="00006C0C" w:rsidP="00D26037">
      <w:pPr>
        <w:pStyle w:val="ConsPlusNormal"/>
        <w:ind w:firstLine="540"/>
        <w:jc w:val="both"/>
      </w:pPr>
    </w:p>
    <w:p w:rsidR="00006C0C" w:rsidRPr="00D26037" w:rsidRDefault="00C73CA4" w:rsidP="00D26037">
      <w:pPr>
        <w:pStyle w:val="ConsPlusNormal"/>
        <w:ind w:firstLine="540"/>
        <w:jc w:val="both"/>
      </w:pPr>
      <w:r w:rsidRPr="00D26037">
        <w:t>Подписано</w:t>
      </w:r>
    </w:p>
    <w:p w:rsidR="00AA7071" w:rsidRPr="00D26037" w:rsidRDefault="00AA7071" w:rsidP="00D26037">
      <w:pPr>
        <w:pStyle w:val="ConsPlusNormal"/>
        <w:ind w:firstLine="540"/>
        <w:jc w:val="both"/>
      </w:pPr>
      <w:r w:rsidRPr="00D26037">
        <w:t>Председатель собрания Сибирев Игорь Валентинович,</w:t>
      </w:r>
    </w:p>
    <w:p w:rsidR="00AA7071" w:rsidRPr="00D26037" w:rsidRDefault="00AA7071" w:rsidP="00D26037">
      <w:pPr>
        <w:pStyle w:val="ConsPlusNormal"/>
        <w:ind w:firstLine="540"/>
        <w:jc w:val="both"/>
      </w:pPr>
      <w:r w:rsidRPr="00D26037">
        <w:t xml:space="preserve">Секретарь собрания –Широкова Екатерина Владимировна </w:t>
      </w:r>
    </w:p>
    <w:p w:rsidR="00C73CA4" w:rsidRPr="00D26037" w:rsidRDefault="00C73CA4" w:rsidP="00AA7071">
      <w:pPr>
        <w:autoSpaceDE w:val="0"/>
        <w:autoSpaceDN w:val="0"/>
        <w:adjustRightInd w:val="0"/>
        <w:spacing w:before="240" w:after="0" w:line="240" w:lineRule="auto"/>
        <w:ind w:firstLine="540"/>
        <w:jc w:val="both"/>
        <w:rPr>
          <w:rFonts w:ascii="Times New Roman" w:hAnsi="Times New Roman" w:cs="Times New Roman"/>
        </w:rPr>
      </w:pPr>
      <w:r w:rsidRPr="00D26037">
        <w:rPr>
          <w:rFonts w:ascii="Times New Roman" w:hAnsi="Times New Roman" w:cs="Times New Roman"/>
        </w:rPr>
        <w:t>Ф</w:t>
      </w:r>
      <w:r w:rsidR="00AA7071" w:rsidRPr="00D26037">
        <w:rPr>
          <w:rFonts w:ascii="Times New Roman" w:hAnsi="Times New Roman" w:cs="Times New Roman"/>
        </w:rPr>
        <w:t xml:space="preserve">ункции счетной комиссии выполнял регистратор общества - </w:t>
      </w:r>
      <w:r w:rsidRPr="00D26037">
        <w:rPr>
          <w:rFonts w:ascii="Times New Roman" w:hAnsi="Times New Roman" w:cs="Times New Roman"/>
        </w:rPr>
        <w:t xml:space="preserve">Акционерное общество "Независимая регистраторская компания Р.О.С.Т."; г. Москва; 107996, г. Москва, ул. Стромынка, д. 18, корп. 13; </w:t>
      </w:r>
    </w:p>
    <w:p w:rsidR="00C73CA4" w:rsidRPr="00D26037" w:rsidRDefault="00C73CA4" w:rsidP="00AA7071">
      <w:pPr>
        <w:autoSpaceDE w:val="0"/>
        <w:autoSpaceDN w:val="0"/>
        <w:adjustRightInd w:val="0"/>
        <w:spacing w:before="240" w:after="0" w:line="240" w:lineRule="auto"/>
        <w:ind w:firstLine="540"/>
        <w:jc w:val="both"/>
        <w:rPr>
          <w:rFonts w:ascii="Times New Roman" w:hAnsi="Times New Roman" w:cs="Times New Roman"/>
        </w:rPr>
      </w:pPr>
      <w:r w:rsidRPr="00D26037">
        <w:rPr>
          <w:rFonts w:ascii="Times New Roman" w:hAnsi="Times New Roman" w:cs="Times New Roman"/>
        </w:rPr>
        <w:t xml:space="preserve">Уполномоченное лицо регистратора: </w:t>
      </w:r>
      <w:r w:rsidR="00D26037" w:rsidRPr="00D26037">
        <w:rPr>
          <w:rFonts w:ascii="Times New Roman" w:hAnsi="Times New Roman" w:cs="Times New Roman"/>
        </w:rPr>
        <w:t>Лепин Олег Николаевич по доверенности № 171/1 от 05.02.2019</w:t>
      </w:r>
    </w:p>
    <w:p w:rsidR="00C73CA4" w:rsidRPr="00AA7071" w:rsidRDefault="00C73CA4" w:rsidP="00AA7071">
      <w:pPr>
        <w:autoSpaceDE w:val="0"/>
        <w:autoSpaceDN w:val="0"/>
        <w:adjustRightInd w:val="0"/>
        <w:spacing w:before="240" w:after="0" w:line="240" w:lineRule="auto"/>
        <w:ind w:firstLine="540"/>
        <w:jc w:val="both"/>
        <w:rPr>
          <w:rFonts w:ascii="Times New Roman" w:hAnsi="Times New Roman" w:cs="Times New Roman"/>
          <w:sz w:val="20"/>
          <w:szCs w:val="20"/>
        </w:rPr>
      </w:pPr>
    </w:p>
    <w:sectPr w:rsidR="00C73CA4" w:rsidRPr="00AA7071" w:rsidSect="00006C0C">
      <w:footerReference w:type="default" r:id="rId6"/>
      <w:pgSz w:w="11906" w:h="16838"/>
      <w:pgMar w:top="567" w:right="567" w:bottom="567" w:left="567" w:header="708"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41" w:rsidRDefault="007F1841" w:rsidP="00006C0C">
      <w:pPr>
        <w:spacing w:after="0" w:line="240" w:lineRule="auto"/>
      </w:pPr>
      <w:r>
        <w:separator/>
      </w:r>
    </w:p>
  </w:endnote>
  <w:endnote w:type="continuationSeparator" w:id="1">
    <w:p w:rsidR="007F1841" w:rsidRDefault="007F1841" w:rsidP="00006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E3" w:rsidRDefault="007402E3" w:rsidP="00006C0C">
    <w:pPr>
      <w:pStyle w:val="a5"/>
      <w:jc w:val="right"/>
    </w:pPr>
    <w:r>
      <w:t xml:space="preserve">стр. </w:t>
    </w:r>
    <w:fldSimple w:instr=" PAGE  \* MERGEFORMAT ">
      <w:r w:rsidR="00D26037">
        <w:rPr>
          <w:noProof/>
        </w:rPr>
        <w:t>2</w:t>
      </w:r>
    </w:fldSimple>
    <w:r>
      <w:t xml:space="preserve"> из </w:t>
    </w:r>
    <w:fldSimple w:instr=" SECTIONPAGES \* MERGEFORMAT ">
      <w:r w:rsidR="00D2603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41" w:rsidRDefault="007F1841" w:rsidP="00006C0C">
      <w:pPr>
        <w:spacing w:after="0" w:line="240" w:lineRule="auto"/>
      </w:pPr>
      <w:r>
        <w:separator/>
      </w:r>
    </w:p>
  </w:footnote>
  <w:footnote w:type="continuationSeparator" w:id="1">
    <w:p w:rsidR="007F1841" w:rsidRDefault="007F1841" w:rsidP="00006C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08"/>
  <w:characterSpacingControl w:val="doNotCompress"/>
  <w:footnotePr>
    <w:footnote w:id="0"/>
    <w:footnote w:id="1"/>
  </w:footnotePr>
  <w:endnotePr>
    <w:endnote w:id="0"/>
    <w:endnote w:id="1"/>
  </w:endnotePr>
  <w:compat/>
  <w:rsids>
    <w:rsidRoot w:val="00006C0C"/>
    <w:rsid w:val="00006C0C"/>
    <w:rsid w:val="00090E67"/>
    <w:rsid w:val="0009468F"/>
    <w:rsid w:val="000E116B"/>
    <w:rsid w:val="0016678B"/>
    <w:rsid w:val="001B1BEB"/>
    <w:rsid w:val="001D278A"/>
    <w:rsid w:val="00216832"/>
    <w:rsid w:val="00222DCB"/>
    <w:rsid w:val="0029276A"/>
    <w:rsid w:val="0029336D"/>
    <w:rsid w:val="002C3E1A"/>
    <w:rsid w:val="002E01DD"/>
    <w:rsid w:val="00321E26"/>
    <w:rsid w:val="00357503"/>
    <w:rsid w:val="00361592"/>
    <w:rsid w:val="003A31F0"/>
    <w:rsid w:val="003B79C0"/>
    <w:rsid w:val="003C6EB8"/>
    <w:rsid w:val="0040023E"/>
    <w:rsid w:val="00444EB4"/>
    <w:rsid w:val="00457DA9"/>
    <w:rsid w:val="00490222"/>
    <w:rsid w:val="00491047"/>
    <w:rsid w:val="004973B8"/>
    <w:rsid w:val="004A20A7"/>
    <w:rsid w:val="004B2688"/>
    <w:rsid w:val="004E3B29"/>
    <w:rsid w:val="0050737E"/>
    <w:rsid w:val="00520264"/>
    <w:rsid w:val="00556EB6"/>
    <w:rsid w:val="00586434"/>
    <w:rsid w:val="005E546C"/>
    <w:rsid w:val="00637B0B"/>
    <w:rsid w:val="0066265C"/>
    <w:rsid w:val="00671CFD"/>
    <w:rsid w:val="006B4D1D"/>
    <w:rsid w:val="006D037F"/>
    <w:rsid w:val="006D27C8"/>
    <w:rsid w:val="006E2913"/>
    <w:rsid w:val="0071709E"/>
    <w:rsid w:val="007262AF"/>
    <w:rsid w:val="00727216"/>
    <w:rsid w:val="007402E3"/>
    <w:rsid w:val="00742968"/>
    <w:rsid w:val="00764E04"/>
    <w:rsid w:val="007F1841"/>
    <w:rsid w:val="00837018"/>
    <w:rsid w:val="008412B5"/>
    <w:rsid w:val="00882126"/>
    <w:rsid w:val="009507AF"/>
    <w:rsid w:val="009B06AD"/>
    <w:rsid w:val="009E2010"/>
    <w:rsid w:val="00A078D7"/>
    <w:rsid w:val="00A15166"/>
    <w:rsid w:val="00A22C86"/>
    <w:rsid w:val="00AA7071"/>
    <w:rsid w:val="00B62EEE"/>
    <w:rsid w:val="00B87835"/>
    <w:rsid w:val="00B923C4"/>
    <w:rsid w:val="00BE0035"/>
    <w:rsid w:val="00BF12F6"/>
    <w:rsid w:val="00C05020"/>
    <w:rsid w:val="00C277DB"/>
    <w:rsid w:val="00C46967"/>
    <w:rsid w:val="00C73CA4"/>
    <w:rsid w:val="00C8256C"/>
    <w:rsid w:val="00CC081B"/>
    <w:rsid w:val="00CC76E7"/>
    <w:rsid w:val="00D10AC2"/>
    <w:rsid w:val="00D26037"/>
    <w:rsid w:val="00D27F32"/>
    <w:rsid w:val="00D34E66"/>
    <w:rsid w:val="00D623E7"/>
    <w:rsid w:val="00DD61C9"/>
    <w:rsid w:val="00DF4098"/>
    <w:rsid w:val="00E2504C"/>
    <w:rsid w:val="00E54586"/>
    <w:rsid w:val="00E81C46"/>
    <w:rsid w:val="00EB1C31"/>
    <w:rsid w:val="00F14439"/>
    <w:rsid w:val="00F271C1"/>
    <w:rsid w:val="00F471B6"/>
    <w:rsid w:val="00F63C61"/>
    <w:rsid w:val="00F673BE"/>
    <w:rsid w:val="00FA4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C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C0C"/>
  </w:style>
  <w:style w:type="paragraph" w:styleId="a5">
    <w:name w:val="footer"/>
    <w:basedOn w:val="a"/>
    <w:link w:val="a6"/>
    <w:uiPriority w:val="99"/>
    <w:unhideWhenUsed/>
    <w:rsid w:val="00006C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C0C"/>
  </w:style>
  <w:style w:type="paragraph" w:customStyle="1" w:styleId="ConsPlusNormal">
    <w:name w:val="ConsPlusNormal"/>
    <w:rsid w:val="00444EB4"/>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cp:lastModifiedBy>
  <cp:revision>2</cp:revision>
  <dcterms:created xsi:type="dcterms:W3CDTF">2020-04-02T09:21:00Z</dcterms:created>
  <dcterms:modified xsi:type="dcterms:W3CDTF">2020-04-02T09:21:00Z</dcterms:modified>
</cp:coreProperties>
</file>